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5E141" w14:textId="77777777" w:rsidR="00785A40" w:rsidRDefault="00712E62">
      <w:pPr>
        <w:ind w:left="4"/>
        <w:rPr>
          <w:rFonts w:ascii="Times New Roman"/>
          <w:sz w:val="20"/>
        </w:rPr>
      </w:pPr>
      <w:r>
        <w:rPr>
          <w:rFonts w:ascii="Times New Roman"/>
          <w:noProof/>
          <w:sz w:val="20"/>
        </w:rPr>
        <w:drawing>
          <wp:inline distT="0" distB="0" distL="0" distR="0" wp14:anchorId="7519178B" wp14:editId="57D540C0">
            <wp:extent cx="1696085" cy="795527"/>
            <wp:effectExtent l="0" t="0" r="0" b="508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1696085" cy="795527"/>
                    </a:xfrm>
                    <a:prstGeom prst="rect">
                      <a:avLst/>
                    </a:prstGeom>
                  </pic:spPr>
                </pic:pic>
              </a:graphicData>
            </a:graphic>
          </wp:inline>
        </w:drawing>
      </w:r>
    </w:p>
    <w:p w14:paraId="7C2F5742" w14:textId="77777777" w:rsidR="00785A40" w:rsidRDefault="00785A40">
      <w:pPr>
        <w:pStyle w:val="BodyText"/>
        <w:spacing w:before="12"/>
        <w:rPr>
          <w:rFonts w:ascii="Times New Roman"/>
        </w:rPr>
      </w:pPr>
    </w:p>
    <w:p w14:paraId="3F338300" w14:textId="77777777" w:rsidR="00785A40" w:rsidRDefault="00712E62">
      <w:pPr>
        <w:pStyle w:val="BodyText"/>
      </w:pPr>
      <w:r>
        <w:t>March</w:t>
      </w:r>
      <w:r>
        <w:rPr>
          <w:spacing w:val="-3"/>
        </w:rPr>
        <w:t xml:space="preserve"> </w:t>
      </w:r>
      <w:r>
        <w:t>31,</w:t>
      </w:r>
      <w:r>
        <w:rPr>
          <w:spacing w:val="-2"/>
        </w:rPr>
        <w:t xml:space="preserve"> </w:t>
      </w:r>
      <w:r>
        <w:rPr>
          <w:spacing w:val="-4"/>
        </w:rPr>
        <w:t>2021</w:t>
      </w:r>
    </w:p>
    <w:p w14:paraId="363572F0" w14:textId="77777777" w:rsidR="00785A40" w:rsidRDefault="00785A40">
      <w:pPr>
        <w:pStyle w:val="BodyText"/>
      </w:pPr>
    </w:p>
    <w:p w14:paraId="3B873628" w14:textId="77777777" w:rsidR="00785A40" w:rsidRDefault="00785A40">
      <w:pPr>
        <w:pStyle w:val="BodyText"/>
      </w:pPr>
    </w:p>
    <w:p w14:paraId="4D35759F" w14:textId="77777777" w:rsidR="00785A40" w:rsidRDefault="00712E62">
      <w:pPr>
        <w:pStyle w:val="BodyText"/>
        <w:spacing w:line="480" w:lineRule="auto"/>
        <w:ind w:right="3215"/>
      </w:pPr>
      <w:r>
        <w:t>Re:</w:t>
      </w:r>
      <w:r>
        <w:rPr>
          <w:spacing w:val="-6"/>
        </w:rPr>
        <w:t xml:space="preserve"> </w:t>
      </w:r>
      <w:r>
        <w:t>Permitting</w:t>
      </w:r>
      <w:r>
        <w:rPr>
          <w:spacing w:val="-7"/>
        </w:rPr>
        <w:t xml:space="preserve"> </w:t>
      </w:r>
      <w:r>
        <w:t>and</w:t>
      </w:r>
      <w:r>
        <w:rPr>
          <w:spacing w:val="-6"/>
        </w:rPr>
        <w:t xml:space="preserve"> </w:t>
      </w:r>
      <w:r>
        <w:t>notification</w:t>
      </w:r>
      <w:r>
        <w:rPr>
          <w:spacing w:val="-6"/>
        </w:rPr>
        <w:t xml:space="preserve"> </w:t>
      </w:r>
      <w:r>
        <w:t>requirements</w:t>
      </w:r>
      <w:r>
        <w:rPr>
          <w:spacing w:val="-7"/>
        </w:rPr>
        <w:t xml:space="preserve"> </w:t>
      </w:r>
      <w:r>
        <w:t>for</w:t>
      </w:r>
      <w:r>
        <w:rPr>
          <w:spacing w:val="-7"/>
        </w:rPr>
        <w:t xml:space="preserve"> </w:t>
      </w:r>
      <w:r>
        <w:t>installations. Dear Interested Persons:</w:t>
      </w:r>
    </w:p>
    <w:p w14:paraId="16EE2D7B" w14:textId="77777777" w:rsidR="00785A40" w:rsidRDefault="00712E62">
      <w:pPr>
        <w:pStyle w:val="BodyText"/>
        <w:ind w:left="-1" w:right="305"/>
      </w:pPr>
      <w:r>
        <w:t xml:space="preserve">The intent of this notice is to clarify the Montana Department of Environmental Quality (DEQ) Asbestos Control Program (ACP) position on individual structure permitting at installations. While DEQ ACP staff continue to </w:t>
      </w:r>
      <w:r>
        <w:rPr>
          <w:i/>
        </w:rPr>
        <w:t xml:space="preserve">encourage </w:t>
      </w:r>
      <w:r>
        <w:t>the use of individual Asbestos Project Permits and Demolition Notifications for each structure, the choice to obtain individual</w:t>
      </w:r>
      <w:r>
        <w:rPr>
          <w:spacing w:val="-3"/>
        </w:rPr>
        <w:t xml:space="preserve"> </w:t>
      </w:r>
      <w:r>
        <w:t>structure,</w:t>
      </w:r>
      <w:r>
        <w:rPr>
          <w:spacing w:val="-5"/>
        </w:rPr>
        <w:t xml:space="preserve"> </w:t>
      </w:r>
      <w:r>
        <w:t>a</w:t>
      </w:r>
      <w:r>
        <w:rPr>
          <w:spacing w:val="-2"/>
        </w:rPr>
        <w:t xml:space="preserve"> </w:t>
      </w:r>
      <w:r>
        <w:t>single</w:t>
      </w:r>
      <w:r>
        <w:rPr>
          <w:spacing w:val="-2"/>
        </w:rPr>
        <w:t xml:space="preserve"> </w:t>
      </w:r>
      <w:r>
        <w:t>installation</w:t>
      </w:r>
      <w:r>
        <w:rPr>
          <w:spacing w:val="-4"/>
        </w:rPr>
        <w:t xml:space="preserve"> </w:t>
      </w:r>
      <w:r>
        <w:t>permit,</w:t>
      </w:r>
      <w:r>
        <w:rPr>
          <w:spacing w:val="-2"/>
        </w:rPr>
        <w:t xml:space="preserve"> </w:t>
      </w:r>
      <w:r>
        <w:t>or</w:t>
      </w:r>
      <w:r>
        <w:rPr>
          <w:spacing w:val="-4"/>
        </w:rPr>
        <w:t xml:space="preserve"> </w:t>
      </w:r>
      <w:r>
        <w:t>an</w:t>
      </w:r>
      <w:r>
        <w:rPr>
          <w:spacing w:val="-4"/>
        </w:rPr>
        <w:t xml:space="preserve"> </w:t>
      </w:r>
      <w:r>
        <w:t>annual</w:t>
      </w:r>
      <w:r>
        <w:rPr>
          <w:spacing w:val="-4"/>
        </w:rPr>
        <w:t xml:space="preserve"> </w:t>
      </w:r>
      <w:r>
        <w:t>permit</w:t>
      </w:r>
      <w:r>
        <w:rPr>
          <w:spacing w:val="-3"/>
        </w:rPr>
        <w:t xml:space="preserve"> </w:t>
      </w:r>
      <w:r>
        <w:t>remains</w:t>
      </w:r>
      <w:r>
        <w:rPr>
          <w:spacing w:val="-3"/>
        </w:rPr>
        <w:t xml:space="preserve"> </w:t>
      </w:r>
      <w:r>
        <w:t>at</w:t>
      </w:r>
      <w:r>
        <w:rPr>
          <w:spacing w:val="-5"/>
        </w:rPr>
        <w:t xml:space="preserve"> </w:t>
      </w:r>
      <w:r>
        <w:t>the</w:t>
      </w:r>
      <w:r>
        <w:rPr>
          <w:spacing w:val="-2"/>
        </w:rPr>
        <w:t xml:space="preserve"> </w:t>
      </w:r>
      <w:r>
        <w:t>discretion of the owner or owner/operator.</w:t>
      </w:r>
    </w:p>
    <w:p w14:paraId="4A537D8F" w14:textId="77777777" w:rsidR="00785A40" w:rsidRDefault="00785A40">
      <w:pPr>
        <w:pStyle w:val="BodyText"/>
        <w:spacing w:before="243"/>
      </w:pPr>
    </w:p>
    <w:p w14:paraId="0004A16F" w14:textId="77777777" w:rsidR="00785A40" w:rsidRDefault="00712E62">
      <w:pPr>
        <w:pStyle w:val="BodyText"/>
        <w:jc w:val="both"/>
      </w:pPr>
      <w:r>
        <w:t>The</w:t>
      </w:r>
      <w:r>
        <w:rPr>
          <w:spacing w:val="-3"/>
        </w:rPr>
        <w:t xml:space="preserve"> </w:t>
      </w:r>
      <w:r>
        <w:t>NESHAP</w:t>
      </w:r>
      <w:r>
        <w:rPr>
          <w:spacing w:val="-3"/>
        </w:rPr>
        <w:t xml:space="preserve"> </w:t>
      </w:r>
      <w:r>
        <w:t>definition</w:t>
      </w:r>
      <w:r>
        <w:rPr>
          <w:spacing w:val="-2"/>
        </w:rPr>
        <w:t xml:space="preserve"> </w:t>
      </w:r>
      <w:r>
        <w:t>of</w:t>
      </w:r>
      <w:r>
        <w:rPr>
          <w:spacing w:val="-3"/>
        </w:rPr>
        <w:t xml:space="preserve"> </w:t>
      </w:r>
      <w:r>
        <w:t>installation</w:t>
      </w:r>
      <w:r>
        <w:rPr>
          <w:spacing w:val="-2"/>
        </w:rPr>
        <w:t xml:space="preserve"> </w:t>
      </w:r>
      <w:r>
        <w:rPr>
          <w:spacing w:val="-5"/>
        </w:rPr>
        <w:t>is:</w:t>
      </w:r>
    </w:p>
    <w:p w14:paraId="4CB1C191" w14:textId="77777777" w:rsidR="00785A40" w:rsidRDefault="00712E62">
      <w:pPr>
        <w:pStyle w:val="BodyText"/>
        <w:ind w:left="720" w:right="376"/>
        <w:jc w:val="both"/>
      </w:pPr>
      <w:r>
        <w:t>any</w:t>
      </w:r>
      <w:r>
        <w:rPr>
          <w:spacing w:val="-3"/>
        </w:rPr>
        <w:t xml:space="preserve"> </w:t>
      </w:r>
      <w:r>
        <w:t>building</w:t>
      </w:r>
      <w:r>
        <w:rPr>
          <w:spacing w:val="-4"/>
        </w:rPr>
        <w:t xml:space="preserve"> </w:t>
      </w:r>
      <w:r>
        <w:t>or</w:t>
      </w:r>
      <w:r>
        <w:rPr>
          <w:spacing w:val="-4"/>
        </w:rPr>
        <w:t xml:space="preserve"> </w:t>
      </w:r>
      <w:r>
        <w:t>structure</w:t>
      </w:r>
      <w:r>
        <w:rPr>
          <w:spacing w:val="-2"/>
        </w:rPr>
        <w:t xml:space="preserve"> </w:t>
      </w:r>
      <w:r>
        <w:t>or</w:t>
      </w:r>
      <w:r>
        <w:rPr>
          <w:spacing w:val="-4"/>
        </w:rPr>
        <w:t xml:space="preserve"> </w:t>
      </w:r>
      <w:r>
        <w:t>any</w:t>
      </w:r>
      <w:r>
        <w:rPr>
          <w:spacing w:val="-3"/>
        </w:rPr>
        <w:t xml:space="preserve"> </w:t>
      </w:r>
      <w:r>
        <w:t>group</w:t>
      </w:r>
      <w:r>
        <w:rPr>
          <w:spacing w:val="-4"/>
        </w:rPr>
        <w:t xml:space="preserve"> </w:t>
      </w:r>
      <w:r>
        <w:t>of</w:t>
      </w:r>
      <w:r>
        <w:rPr>
          <w:spacing w:val="-2"/>
        </w:rPr>
        <w:t xml:space="preserve"> </w:t>
      </w:r>
      <w:r>
        <w:t>buildings</w:t>
      </w:r>
      <w:r>
        <w:rPr>
          <w:spacing w:val="-3"/>
        </w:rPr>
        <w:t xml:space="preserve"> </w:t>
      </w:r>
      <w:r>
        <w:t>or</w:t>
      </w:r>
      <w:r>
        <w:rPr>
          <w:spacing w:val="-4"/>
        </w:rPr>
        <w:t xml:space="preserve"> </w:t>
      </w:r>
      <w:r>
        <w:t>structures</w:t>
      </w:r>
      <w:r>
        <w:rPr>
          <w:spacing w:val="-5"/>
        </w:rPr>
        <w:t xml:space="preserve"> </w:t>
      </w:r>
      <w:r>
        <w:t>at</w:t>
      </w:r>
      <w:r>
        <w:rPr>
          <w:spacing w:val="-5"/>
        </w:rPr>
        <w:t xml:space="preserve"> </w:t>
      </w:r>
      <w:r>
        <w:t>a</w:t>
      </w:r>
      <w:r>
        <w:rPr>
          <w:spacing w:val="-2"/>
        </w:rPr>
        <w:t xml:space="preserve"> </w:t>
      </w:r>
      <w:r>
        <w:t>single</w:t>
      </w:r>
      <w:r>
        <w:rPr>
          <w:spacing w:val="-2"/>
        </w:rPr>
        <w:t xml:space="preserve"> </w:t>
      </w:r>
      <w:r>
        <w:t>demolition or</w:t>
      </w:r>
      <w:r>
        <w:rPr>
          <w:spacing w:val="-1"/>
        </w:rPr>
        <w:t xml:space="preserve"> </w:t>
      </w:r>
      <w:r>
        <w:t>renovation site that</w:t>
      </w:r>
      <w:r>
        <w:rPr>
          <w:spacing w:val="-2"/>
        </w:rPr>
        <w:t xml:space="preserve"> </w:t>
      </w:r>
      <w:r>
        <w:t>are under</w:t>
      </w:r>
      <w:r>
        <w:rPr>
          <w:spacing w:val="-1"/>
        </w:rPr>
        <w:t xml:space="preserve"> </w:t>
      </w:r>
      <w:r>
        <w:t>the control</w:t>
      </w:r>
      <w:r>
        <w:rPr>
          <w:spacing w:val="-3"/>
        </w:rPr>
        <w:t xml:space="preserve"> </w:t>
      </w:r>
      <w:r>
        <w:t>of the</w:t>
      </w:r>
      <w:r>
        <w:rPr>
          <w:spacing w:val="-1"/>
        </w:rPr>
        <w:t xml:space="preserve"> </w:t>
      </w:r>
      <w:r>
        <w:t>same</w:t>
      </w:r>
      <w:r>
        <w:rPr>
          <w:spacing w:val="-1"/>
        </w:rPr>
        <w:t xml:space="preserve"> </w:t>
      </w:r>
      <w:r>
        <w:t>owner</w:t>
      </w:r>
      <w:r>
        <w:rPr>
          <w:spacing w:val="-1"/>
        </w:rPr>
        <w:t xml:space="preserve"> </w:t>
      </w:r>
      <w:r>
        <w:t>or</w:t>
      </w:r>
      <w:r>
        <w:rPr>
          <w:spacing w:val="-3"/>
        </w:rPr>
        <w:t xml:space="preserve"> </w:t>
      </w:r>
      <w:r>
        <w:t>operator</w:t>
      </w:r>
      <w:r>
        <w:rPr>
          <w:spacing w:val="-1"/>
        </w:rPr>
        <w:t xml:space="preserve"> </w:t>
      </w:r>
      <w:r>
        <w:t>(or</w:t>
      </w:r>
      <w:r>
        <w:rPr>
          <w:spacing w:val="-1"/>
        </w:rPr>
        <w:t xml:space="preserve"> </w:t>
      </w:r>
      <w:r>
        <w:t>owner or operator under common control).</w:t>
      </w:r>
    </w:p>
    <w:p w14:paraId="5A5BB1E4" w14:textId="77777777" w:rsidR="00785A40" w:rsidRDefault="00712E62">
      <w:pPr>
        <w:pStyle w:val="BodyText"/>
        <w:ind w:left="720"/>
        <w:jc w:val="both"/>
      </w:pPr>
      <w:r>
        <w:t>40 CFR</w:t>
      </w:r>
      <w:r>
        <w:rPr>
          <w:spacing w:val="-1"/>
        </w:rPr>
        <w:t xml:space="preserve"> </w:t>
      </w:r>
      <w:r>
        <w:rPr>
          <w:spacing w:val="-2"/>
        </w:rPr>
        <w:t>61.141</w:t>
      </w:r>
    </w:p>
    <w:p w14:paraId="0AC453D8" w14:textId="77777777" w:rsidR="00785A40" w:rsidRDefault="00785A40">
      <w:pPr>
        <w:pStyle w:val="BodyText"/>
      </w:pPr>
    </w:p>
    <w:p w14:paraId="28D13B0B" w14:textId="77777777" w:rsidR="00785A40" w:rsidRDefault="00712E62">
      <w:pPr>
        <w:pStyle w:val="BodyText"/>
      </w:pPr>
      <w:r>
        <w:t>The</w:t>
      </w:r>
      <w:r>
        <w:rPr>
          <w:spacing w:val="-4"/>
        </w:rPr>
        <w:t xml:space="preserve"> </w:t>
      </w:r>
      <w:r>
        <w:t>Montana</w:t>
      </w:r>
      <w:r>
        <w:rPr>
          <w:spacing w:val="-2"/>
        </w:rPr>
        <w:t xml:space="preserve"> </w:t>
      </w:r>
      <w:r>
        <w:t>Asbestos</w:t>
      </w:r>
      <w:r>
        <w:rPr>
          <w:spacing w:val="-3"/>
        </w:rPr>
        <w:t xml:space="preserve"> </w:t>
      </w:r>
      <w:r>
        <w:t>Control</w:t>
      </w:r>
      <w:r>
        <w:rPr>
          <w:spacing w:val="-2"/>
        </w:rPr>
        <w:t xml:space="preserve"> </w:t>
      </w:r>
      <w:r>
        <w:t>Act</w:t>
      </w:r>
      <w:r>
        <w:rPr>
          <w:spacing w:val="-2"/>
        </w:rPr>
        <w:t xml:space="preserve"> </w:t>
      </w:r>
      <w:r>
        <w:t>defines</w:t>
      </w:r>
      <w:r>
        <w:rPr>
          <w:spacing w:val="-5"/>
        </w:rPr>
        <w:t xml:space="preserve"> </w:t>
      </w:r>
      <w:r>
        <w:t>an</w:t>
      </w:r>
      <w:r>
        <w:rPr>
          <w:spacing w:val="-1"/>
        </w:rPr>
        <w:t xml:space="preserve"> </w:t>
      </w:r>
      <w:r>
        <w:t>asbestos</w:t>
      </w:r>
      <w:r>
        <w:rPr>
          <w:spacing w:val="-5"/>
        </w:rPr>
        <w:t xml:space="preserve"> </w:t>
      </w:r>
      <w:r>
        <w:t>project</w:t>
      </w:r>
      <w:r>
        <w:rPr>
          <w:spacing w:val="-4"/>
        </w:rPr>
        <w:t xml:space="preserve"> </w:t>
      </w:r>
      <w:r>
        <w:rPr>
          <w:spacing w:val="-5"/>
        </w:rPr>
        <w:t>as:</w:t>
      </w:r>
    </w:p>
    <w:p w14:paraId="7DD2E9F6" w14:textId="77777777" w:rsidR="00785A40" w:rsidRDefault="00712E62">
      <w:pPr>
        <w:pStyle w:val="BodyText"/>
        <w:ind w:left="719" w:right="333"/>
      </w:pPr>
      <w:r>
        <w:t>the encapsulation, enclosure, removal, repair, renovation, placement in new construction, demolition of asbestos in a building or other structure, or the transportation</w:t>
      </w:r>
      <w:r>
        <w:rPr>
          <w:spacing w:val="-5"/>
        </w:rPr>
        <w:t xml:space="preserve"> </w:t>
      </w:r>
      <w:r>
        <w:t>or</w:t>
      </w:r>
      <w:r>
        <w:rPr>
          <w:spacing w:val="-5"/>
        </w:rPr>
        <w:t xml:space="preserve"> </w:t>
      </w:r>
      <w:r>
        <w:t>disposal</w:t>
      </w:r>
      <w:r>
        <w:rPr>
          <w:spacing w:val="-4"/>
        </w:rPr>
        <w:t xml:space="preserve"> </w:t>
      </w:r>
      <w:r>
        <w:t>of</w:t>
      </w:r>
      <w:r>
        <w:rPr>
          <w:spacing w:val="-6"/>
        </w:rPr>
        <w:t xml:space="preserve"> </w:t>
      </w:r>
      <w:r>
        <w:t>asbestos-containing</w:t>
      </w:r>
      <w:r>
        <w:rPr>
          <w:spacing w:val="-3"/>
        </w:rPr>
        <w:t xml:space="preserve"> </w:t>
      </w:r>
      <w:r>
        <w:t>waste.</w:t>
      </w:r>
      <w:r>
        <w:rPr>
          <w:spacing w:val="-3"/>
        </w:rPr>
        <w:t xml:space="preserve"> </w:t>
      </w:r>
      <w:r>
        <w:t>The</w:t>
      </w:r>
      <w:r>
        <w:rPr>
          <w:spacing w:val="-3"/>
        </w:rPr>
        <w:t xml:space="preserve"> </w:t>
      </w:r>
      <w:r>
        <w:t>term</w:t>
      </w:r>
      <w:r>
        <w:rPr>
          <w:spacing w:val="-2"/>
        </w:rPr>
        <w:t xml:space="preserve"> </w:t>
      </w:r>
      <w:r>
        <w:t>does</w:t>
      </w:r>
      <w:r>
        <w:rPr>
          <w:spacing w:val="-4"/>
        </w:rPr>
        <w:t xml:space="preserve"> </w:t>
      </w:r>
      <w:r>
        <w:t>not</w:t>
      </w:r>
      <w:r>
        <w:rPr>
          <w:spacing w:val="-3"/>
        </w:rPr>
        <w:t xml:space="preserve"> </w:t>
      </w:r>
      <w:r>
        <w:t>include</w:t>
      </w:r>
      <w:r>
        <w:rPr>
          <w:spacing w:val="-3"/>
        </w:rPr>
        <w:t xml:space="preserve"> </w:t>
      </w:r>
      <w:r>
        <w:t xml:space="preserve">a project that involves less than 10 square feet in surface area or three linear feet of </w:t>
      </w:r>
      <w:r>
        <w:rPr>
          <w:spacing w:val="-2"/>
        </w:rPr>
        <w:t>pipe.</w:t>
      </w:r>
    </w:p>
    <w:p w14:paraId="1F6681D3" w14:textId="77777777" w:rsidR="00785A40" w:rsidRDefault="00712E62">
      <w:pPr>
        <w:pStyle w:val="BodyText"/>
        <w:ind w:left="719"/>
      </w:pPr>
      <w:r>
        <w:t>§75-2-502(3),</w:t>
      </w:r>
      <w:r>
        <w:rPr>
          <w:spacing w:val="-3"/>
        </w:rPr>
        <w:t xml:space="preserve"> </w:t>
      </w:r>
      <w:r>
        <w:t>Montana</w:t>
      </w:r>
      <w:r>
        <w:rPr>
          <w:spacing w:val="-5"/>
        </w:rPr>
        <w:t xml:space="preserve"> </w:t>
      </w:r>
      <w:r>
        <w:t>Code</w:t>
      </w:r>
      <w:r>
        <w:rPr>
          <w:spacing w:val="-4"/>
        </w:rPr>
        <w:t xml:space="preserve"> </w:t>
      </w:r>
      <w:r>
        <w:t>Annotated</w:t>
      </w:r>
      <w:r>
        <w:rPr>
          <w:spacing w:val="-4"/>
        </w:rPr>
        <w:t xml:space="preserve"> </w:t>
      </w:r>
      <w:r>
        <w:rPr>
          <w:spacing w:val="-2"/>
        </w:rPr>
        <w:t>(MCA).</w:t>
      </w:r>
    </w:p>
    <w:p w14:paraId="3A8F2E14" w14:textId="77777777" w:rsidR="00785A40" w:rsidRDefault="00785A40">
      <w:pPr>
        <w:pStyle w:val="BodyText"/>
      </w:pPr>
    </w:p>
    <w:p w14:paraId="21E79879" w14:textId="77777777" w:rsidR="00785A40" w:rsidRDefault="00712E62">
      <w:pPr>
        <w:pStyle w:val="BodyText"/>
        <w:ind w:right="348"/>
      </w:pPr>
      <w:r>
        <w:t>The Administrative Rules of Montana (ARM) implementing the Montana Asbestos Control Act</w:t>
      </w:r>
      <w:r>
        <w:rPr>
          <w:spacing w:val="-2"/>
        </w:rPr>
        <w:t xml:space="preserve"> </w:t>
      </w:r>
      <w:r>
        <w:t>at</w:t>
      </w:r>
      <w:r>
        <w:rPr>
          <w:spacing w:val="-5"/>
        </w:rPr>
        <w:t xml:space="preserve"> </w:t>
      </w:r>
      <w:r>
        <w:t>Title</w:t>
      </w:r>
      <w:r>
        <w:rPr>
          <w:spacing w:val="-2"/>
        </w:rPr>
        <w:t xml:space="preserve"> </w:t>
      </w:r>
      <w:r>
        <w:t>17,</w:t>
      </w:r>
      <w:r>
        <w:rPr>
          <w:spacing w:val="-2"/>
        </w:rPr>
        <w:t xml:space="preserve"> </w:t>
      </w:r>
      <w:r>
        <w:t>chapter</w:t>
      </w:r>
      <w:r>
        <w:rPr>
          <w:spacing w:val="-4"/>
        </w:rPr>
        <w:t xml:space="preserve"> </w:t>
      </w:r>
      <w:r>
        <w:t>74,</w:t>
      </w:r>
      <w:r>
        <w:rPr>
          <w:spacing w:val="-2"/>
        </w:rPr>
        <w:t xml:space="preserve"> </w:t>
      </w:r>
      <w:r>
        <w:t>subchapter</w:t>
      </w:r>
      <w:r>
        <w:rPr>
          <w:spacing w:val="-4"/>
        </w:rPr>
        <w:t xml:space="preserve"> </w:t>
      </w:r>
      <w:r>
        <w:t>3</w:t>
      </w:r>
      <w:r>
        <w:rPr>
          <w:spacing w:val="-2"/>
        </w:rPr>
        <w:t xml:space="preserve"> </w:t>
      </w:r>
      <w:r>
        <w:t>incorporate</w:t>
      </w:r>
      <w:r>
        <w:rPr>
          <w:spacing w:val="-4"/>
        </w:rPr>
        <w:t xml:space="preserve"> </w:t>
      </w:r>
      <w:r>
        <w:t>the</w:t>
      </w:r>
      <w:r>
        <w:rPr>
          <w:spacing w:val="-2"/>
        </w:rPr>
        <w:t xml:space="preserve"> </w:t>
      </w:r>
      <w:r>
        <w:t>NESHAP</w:t>
      </w:r>
      <w:r>
        <w:rPr>
          <w:spacing w:val="-2"/>
        </w:rPr>
        <w:t xml:space="preserve"> </w:t>
      </w:r>
      <w:r>
        <w:t>for</w:t>
      </w:r>
      <w:r>
        <w:rPr>
          <w:spacing w:val="-4"/>
        </w:rPr>
        <w:t xml:space="preserve"> </w:t>
      </w:r>
      <w:r>
        <w:t>asbestos,</w:t>
      </w:r>
      <w:r>
        <w:rPr>
          <w:spacing w:val="-2"/>
        </w:rPr>
        <w:t xml:space="preserve"> </w:t>
      </w:r>
      <w:r>
        <w:t>40</w:t>
      </w:r>
      <w:r>
        <w:rPr>
          <w:spacing w:val="-2"/>
        </w:rPr>
        <w:t xml:space="preserve"> </w:t>
      </w:r>
      <w:r>
        <w:t>CFR</w:t>
      </w:r>
      <w:r>
        <w:rPr>
          <w:spacing w:val="-3"/>
        </w:rPr>
        <w:t xml:space="preserve"> </w:t>
      </w:r>
      <w:r>
        <w:t>61, subparts A and M and the definition of “building or other structure” in §75-2-502(3), MCA has the meaning given for “facility” in 40 CFR 61.141, which follows:</w:t>
      </w:r>
    </w:p>
    <w:p w14:paraId="4CD12050" w14:textId="77777777" w:rsidR="00785A40" w:rsidRDefault="00712E62">
      <w:pPr>
        <w:pStyle w:val="BodyText"/>
        <w:ind w:left="720" w:right="348"/>
      </w:pPr>
      <w:r>
        <w:t>any</w:t>
      </w:r>
      <w:r>
        <w:rPr>
          <w:spacing w:val="-3"/>
        </w:rPr>
        <w:t xml:space="preserve"> </w:t>
      </w:r>
      <w:r>
        <w:t>institutional,</w:t>
      </w:r>
      <w:r>
        <w:rPr>
          <w:spacing w:val="-2"/>
        </w:rPr>
        <w:t xml:space="preserve"> </w:t>
      </w:r>
      <w:r>
        <w:t>commercial,</w:t>
      </w:r>
      <w:r>
        <w:rPr>
          <w:spacing w:val="-2"/>
        </w:rPr>
        <w:t xml:space="preserve"> </w:t>
      </w:r>
      <w:r>
        <w:t>public,</w:t>
      </w:r>
      <w:r>
        <w:rPr>
          <w:spacing w:val="-2"/>
        </w:rPr>
        <w:t xml:space="preserve"> </w:t>
      </w:r>
      <w:r>
        <w:t>industrial,</w:t>
      </w:r>
      <w:r>
        <w:rPr>
          <w:spacing w:val="-2"/>
        </w:rPr>
        <w:t xml:space="preserve"> </w:t>
      </w:r>
      <w:r>
        <w:t>or</w:t>
      </w:r>
      <w:r>
        <w:rPr>
          <w:spacing w:val="-4"/>
        </w:rPr>
        <w:t xml:space="preserve"> </w:t>
      </w:r>
      <w:r>
        <w:t>residential</w:t>
      </w:r>
      <w:r>
        <w:rPr>
          <w:spacing w:val="-3"/>
        </w:rPr>
        <w:t xml:space="preserve"> </w:t>
      </w:r>
      <w:r>
        <w:t>structure,</w:t>
      </w:r>
      <w:r>
        <w:rPr>
          <w:spacing w:val="-2"/>
        </w:rPr>
        <w:t xml:space="preserve"> </w:t>
      </w:r>
      <w:r>
        <w:t>installation,</w:t>
      </w:r>
      <w:r>
        <w:rPr>
          <w:spacing w:val="-5"/>
        </w:rPr>
        <w:t xml:space="preserve"> </w:t>
      </w:r>
      <w:r>
        <w:t>or building (including any</w:t>
      </w:r>
      <w:r>
        <w:rPr>
          <w:spacing w:val="-1"/>
        </w:rPr>
        <w:t xml:space="preserve"> </w:t>
      </w:r>
      <w:r>
        <w:t>structure, installation, or building containing condominiums or individual dwelling units operated as a residential cooperative</w:t>
      </w:r>
      <w:r>
        <w:rPr>
          <w:b/>
        </w:rPr>
        <w:t xml:space="preserve">, </w:t>
      </w:r>
      <w:r>
        <w:t xml:space="preserve">but excluding </w:t>
      </w:r>
      <w:r>
        <w:lastRenderedPageBreak/>
        <w:t>residential buildings having four or fewer dwelling units); any ship; and any active or inactive</w:t>
      </w:r>
      <w:r>
        <w:rPr>
          <w:spacing w:val="-2"/>
        </w:rPr>
        <w:t xml:space="preserve"> </w:t>
      </w:r>
      <w:r>
        <w:t>waste</w:t>
      </w:r>
      <w:r>
        <w:rPr>
          <w:spacing w:val="-2"/>
        </w:rPr>
        <w:t xml:space="preserve"> </w:t>
      </w:r>
      <w:r>
        <w:t>disposal</w:t>
      </w:r>
      <w:r>
        <w:rPr>
          <w:spacing w:val="-5"/>
        </w:rPr>
        <w:t xml:space="preserve"> </w:t>
      </w:r>
      <w:r>
        <w:t>site.</w:t>
      </w:r>
      <w:r>
        <w:rPr>
          <w:spacing w:val="-2"/>
        </w:rPr>
        <w:t xml:space="preserve"> </w:t>
      </w:r>
      <w:r>
        <w:t>For</w:t>
      </w:r>
      <w:r>
        <w:rPr>
          <w:spacing w:val="-5"/>
        </w:rPr>
        <w:t xml:space="preserve"> </w:t>
      </w:r>
      <w:r>
        <w:t>purposes</w:t>
      </w:r>
      <w:r>
        <w:rPr>
          <w:spacing w:val="-3"/>
        </w:rPr>
        <w:t xml:space="preserve"> </w:t>
      </w:r>
      <w:r>
        <w:t>of</w:t>
      </w:r>
      <w:r>
        <w:rPr>
          <w:spacing w:val="-2"/>
        </w:rPr>
        <w:t xml:space="preserve"> </w:t>
      </w:r>
      <w:r>
        <w:t>this</w:t>
      </w:r>
      <w:r>
        <w:rPr>
          <w:spacing w:val="-3"/>
        </w:rPr>
        <w:t xml:space="preserve"> </w:t>
      </w:r>
      <w:r>
        <w:t>definition,</w:t>
      </w:r>
      <w:r>
        <w:rPr>
          <w:spacing w:val="-5"/>
        </w:rPr>
        <w:t xml:space="preserve"> </w:t>
      </w:r>
      <w:r>
        <w:t>any</w:t>
      </w:r>
      <w:r>
        <w:rPr>
          <w:spacing w:val="-5"/>
        </w:rPr>
        <w:t xml:space="preserve"> </w:t>
      </w:r>
      <w:r>
        <w:t>building,</w:t>
      </w:r>
      <w:r>
        <w:rPr>
          <w:spacing w:val="-2"/>
        </w:rPr>
        <w:t xml:space="preserve"> </w:t>
      </w:r>
      <w:r>
        <w:t>structure,</w:t>
      </w:r>
      <w:r>
        <w:rPr>
          <w:spacing w:val="-5"/>
        </w:rPr>
        <w:t xml:space="preserve"> </w:t>
      </w:r>
      <w:r>
        <w:t xml:space="preserve">or installation that contains a loft used as a dwelling is not considered a residential structure, installation, or building. Any structure, installation or building that was previously subject to this subpart is not excluded, regardless of its current use or </w:t>
      </w:r>
      <w:r>
        <w:rPr>
          <w:spacing w:val="-2"/>
        </w:rPr>
        <w:t>function.</w:t>
      </w:r>
    </w:p>
    <w:p w14:paraId="0DD18C69" w14:textId="77777777" w:rsidR="00785A40" w:rsidRDefault="00712E62">
      <w:pPr>
        <w:pStyle w:val="BodyText"/>
        <w:spacing w:line="274" w:lineRule="exact"/>
        <w:ind w:left="720"/>
      </w:pPr>
      <w:r>
        <w:t>40 CFR</w:t>
      </w:r>
      <w:r>
        <w:rPr>
          <w:spacing w:val="-1"/>
        </w:rPr>
        <w:t xml:space="preserve"> </w:t>
      </w:r>
      <w:r>
        <w:rPr>
          <w:spacing w:val="-2"/>
        </w:rPr>
        <w:t>61.141</w:t>
      </w:r>
    </w:p>
    <w:p w14:paraId="3B044879" w14:textId="77777777" w:rsidR="00785A40" w:rsidRDefault="00785A40">
      <w:pPr>
        <w:pStyle w:val="BodyText"/>
        <w:rPr>
          <w:sz w:val="16"/>
        </w:rPr>
      </w:pPr>
    </w:p>
    <w:p w14:paraId="2E5D29DE" w14:textId="77777777" w:rsidR="00785A40" w:rsidRDefault="00785A40">
      <w:pPr>
        <w:pStyle w:val="BodyText"/>
        <w:rPr>
          <w:sz w:val="16"/>
        </w:rPr>
      </w:pPr>
    </w:p>
    <w:p w14:paraId="471BF04E" w14:textId="77777777" w:rsidR="00785A40" w:rsidRDefault="00785A40">
      <w:pPr>
        <w:pStyle w:val="BodyText"/>
        <w:rPr>
          <w:sz w:val="16"/>
        </w:rPr>
      </w:pPr>
    </w:p>
    <w:p w14:paraId="15DEC531" w14:textId="77777777" w:rsidR="00785A40" w:rsidRDefault="00785A40">
      <w:pPr>
        <w:pStyle w:val="BodyText"/>
        <w:spacing w:before="107"/>
        <w:rPr>
          <w:sz w:val="16"/>
        </w:rPr>
      </w:pPr>
    </w:p>
    <w:p w14:paraId="1E3FAF03" w14:textId="77777777" w:rsidR="00785A40" w:rsidRDefault="00712E62">
      <w:pPr>
        <w:rPr>
          <w:sz w:val="16"/>
        </w:rPr>
      </w:pPr>
      <w:r>
        <w:rPr>
          <w:color w:val="004996"/>
          <w:sz w:val="16"/>
        </w:rPr>
        <w:t>Greg</w:t>
      </w:r>
      <w:r>
        <w:rPr>
          <w:color w:val="004996"/>
          <w:spacing w:val="-5"/>
          <w:sz w:val="16"/>
        </w:rPr>
        <w:t xml:space="preserve"> </w:t>
      </w:r>
      <w:r>
        <w:rPr>
          <w:color w:val="004996"/>
          <w:sz w:val="16"/>
        </w:rPr>
        <w:t>Gianforte,</w:t>
      </w:r>
      <w:r>
        <w:rPr>
          <w:color w:val="004996"/>
          <w:spacing w:val="-4"/>
          <w:sz w:val="16"/>
        </w:rPr>
        <w:t xml:space="preserve"> </w:t>
      </w:r>
      <w:r>
        <w:rPr>
          <w:color w:val="004996"/>
          <w:sz w:val="16"/>
        </w:rPr>
        <w:t>Governor</w:t>
      </w:r>
      <w:r>
        <w:rPr>
          <w:color w:val="004996"/>
          <w:spacing w:val="-4"/>
          <w:sz w:val="16"/>
        </w:rPr>
        <w:t xml:space="preserve"> </w:t>
      </w:r>
      <w:r>
        <w:rPr>
          <w:color w:val="004996"/>
          <w:sz w:val="16"/>
        </w:rPr>
        <w:t>I</w:t>
      </w:r>
      <w:r>
        <w:rPr>
          <w:color w:val="004996"/>
          <w:spacing w:val="-3"/>
          <w:sz w:val="16"/>
        </w:rPr>
        <w:t xml:space="preserve"> </w:t>
      </w:r>
      <w:r>
        <w:rPr>
          <w:color w:val="004996"/>
          <w:sz w:val="16"/>
        </w:rPr>
        <w:t>Sonja</w:t>
      </w:r>
      <w:r>
        <w:rPr>
          <w:color w:val="004996"/>
          <w:spacing w:val="-6"/>
          <w:sz w:val="16"/>
        </w:rPr>
        <w:t xml:space="preserve"> </w:t>
      </w:r>
      <w:r>
        <w:rPr>
          <w:color w:val="004996"/>
          <w:sz w:val="16"/>
        </w:rPr>
        <w:t>Nowakowski,</w:t>
      </w:r>
      <w:r>
        <w:rPr>
          <w:color w:val="004996"/>
          <w:spacing w:val="-2"/>
          <w:sz w:val="16"/>
        </w:rPr>
        <w:t xml:space="preserve"> </w:t>
      </w:r>
      <w:r>
        <w:rPr>
          <w:color w:val="004996"/>
          <w:sz w:val="16"/>
        </w:rPr>
        <w:t>Director</w:t>
      </w:r>
      <w:r>
        <w:rPr>
          <w:color w:val="004996"/>
          <w:spacing w:val="-4"/>
          <w:sz w:val="16"/>
        </w:rPr>
        <w:t xml:space="preserve"> </w:t>
      </w:r>
      <w:r>
        <w:rPr>
          <w:color w:val="004996"/>
          <w:sz w:val="16"/>
        </w:rPr>
        <w:t>I</w:t>
      </w:r>
      <w:r>
        <w:rPr>
          <w:color w:val="004996"/>
          <w:spacing w:val="-5"/>
          <w:sz w:val="16"/>
        </w:rPr>
        <w:t xml:space="preserve"> </w:t>
      </w:r>
      <w:r>
        <w:rPr>
          <w:color w:val="004996"/>
          <w:sz w:val="16"/>
        </w:rPr>
        <w:t>P.O.</w:t>
      </w:r>
      <w:r>
        <w:rPr>
          <w:color w:val="004996"/>
          <w:spacing w:val="-5"/>
          <w:sz w:val="16"/>
        </w:rPr>
        <w:t xml:space="preserve"> </w:t>
      </w:r>
      <w:r>
        <w:rPr>
          <w:color w:val="004996"/>
          <w:sz w:val="16"/>
        </w:rPr>
        <w:t>Box</w:t>
      </w:r>
      <w:r>
        <w:rPr>
          <w:color w:val="004996"/>
          <w:spacing w:val="-2"/>
          <w:sz w:val="16"/>
        </w:rPr>
        <w:t xml:space="preserve"> </w:t>
      </w:r>
      <w:r>
        <w:rPr>
          <w:color w:val="004996"/>
          <w:sz w:val="16"/>
        </w:rPr>
        <w:t>200901</w:t>
      </w:r>
      <w:r>
        <w:rPr>
          <w:color w:val="004996"/>
          <w:spacing w:val="-4"/>
          <w:sz w:val="16"/>
        </w:rPr>
        <w:t xml:space="preserve"> </w:t>
      </w:r>
      <w:r>
        <w:rPr>
          <w:color w:val="004996"/>
          <w:sz w:val="16"/>
        </w:rPr>
        <w:t>I</w:t>
      </w:r>
      <w:r>
        <w:rPr>
          <w:color w:val="004996"/>
          <w:spacing w:val="-2"/>
          <w:sz w:val="16"/>
        </w:rPr>
        <w:t xml:space="preserve"> </w:t>
      </w:r>
      <w:r>
        <w:rPr>
          <w:color w:val="004996"/>
          <w:sz w:val="16"/>
        </w:rPr>
        <w:t>Helena,</w:t>
      </w:r>
      <w:r>
        <w:rPr>
          <w:color w:val="004996"/>
          <w:spacing w:val="-5"/>
          <w:sz w:val="16"/>
        </w:rPr>
        <w:t xml:space="preserve"> </w:t>
      </w:r>
      <w:r>
        <w:rPr>
          <w:color w:val="004996"/>
          <w:sz w:val="16"/>
        </w:rPr>
        <w:t>MT</w:t>
      </w:r>
      <w:r>
        <w:rPr>
          <w:color w:val="004996"/>
          <w:spacing w:val="-3"/>
          <w:sz w:val="16"/>
        </w:rPr>
        <w:t xml:space="preserve"> </w:t>
      </w:r>
      <w:r>
        <w:rPr>
          <w:color w:val="004996"/>
          <w:sz w:val="16"/>
        </w:rPr>
        <w:t>59620-0901</w:t>
      </w:r>
      <w:r>
        <w:rPr>
          <w:color w:val="004996"/>
          <w:spacing w:val="-4"/>
          <w:sz w:val="16"/>
        </w:rPr>
        <w:t xml:space="preserve"> </w:t>
      </w:r>
      <w:r>
        <w:rPr>
          <w:color w:val="004996"/>
          <w:sz w:val="16"/>
        </w:rPr>
        <w:t>I</w:t>
      </w:r>
      <w:r>
        <w:rPr>
          <w:color w:val="004996"/>
          <w:spacing w:val="-5"/>
          <w:sz w:val="16"/>
        </w:rPr>
        <w:t xml:space="preserve"> </w:t>
      </w:r>
      <w:r>
        <w:rPr>
          <w:color w:val="004996"/>
          <w:sz w:val="16"/>
        </w:rPr>
        <w:t>(406)</w:t>
      </w:r>
      <w:r>
        <w:rPr>
          <w:color w:val="004996"/>
          <w:spacing w:val="-4"/>
          <w:sz w:val="16"/>
        </w:rPr>
        <w:t xml:space="preserve"> </w:t>
      </w:r>
      <w:r>
        <w:rPr>
          <w:color w:val="004996"/>
          <w:sz w:val="16"/>
        </w:rPr>
        <w:t>444-2544</w:t>
      </w:r>
      <w:r>
        <w:rPr>
          <w:color w:val="004996"/>
          <w:spacing w:val="-4"/>
          <w:sz w:val="16"/>
        </w:rPr>
        <w:t xml:space="preserve"> </w:t>
      </w:r>
      <w:r>
        <w:rPr>
          <w:color w:val="004996"/>
          <w:sz w:val="16"/>
        </w:rPr>
        <w:t>I</w:t>
      </w:r>
      <w:r>
        <w:rPr>
          <w:color w:val="004996"/>
          <w:spacing w:val="-2"/>
          <w:sz w:val="16"/>
        </w:rPr>
        <w:t xml:space="preserve"> </w:t>
      </w:r>
      <w:hyperlink r:id="rId5">
        <w:r>
          <w:rPr>
            <w:color w:val="004996"/>
            <w:spacing w:val="-2"/>
            <w:sz w:val="16"/>
          </w:rPr>
          <w:t>www.deq.mt.gov</w:t>
        </w:r>
      </w:hyperlink>
    </w:p>
    <w:p w14:paraId="0C29C123" w14:textId="77777777" w:rsidR="00785A40" w:rsidRDefault="00785A40">
      <w:pPr>
        <w:rPr>
          <w:sz w:val="16"/>
        </w:rPr>
        <w:sectPr w:rsidR="00785A40">
          <w:type w:val="continuous"/>
          <w:pgSz w:w="12240" w:h="15840"/>
          <w:pgMar w:top="720" w:right="720" w:bottom="280" w:left="1440" w:header="720" w:footer="720" w:gutter="0"/>
          <w:cols w:space="720"/>
        </w:sectPr>
      </w:pPr>
    </w:p>
    <w:p w14:paraId="38E31449" w14:textId="77777777" w:rsidR="00785A40" w:rsidRDefault="00712E62">
      <w:pPr>
        <w:pStyle w:val="BodyText"/>
        <w:spacing w:before="80"/>
        <w:ind w:right="333"/>
      </w:pPr>
      <w:r>
        <w:lastRenderedPageBreak/>
        <w:t>The DEQ ACP considered the state and federal definitions, its 2020 fee rules, and recent comments</w:t>
      </w:r>
      <w:r>
        <w:rPr>
          <w:spacing w:val="-3"/>
        </w:rPr>
        <w:t xml:space="preserve"> </w:t>
      </w:r>
      <w:r>
        <w:t>from</w:t>
      </w:r>
      <w:r>
        <w:rPr>
          <w:spacing w:val="-1"/>
        </w:rPr>
        <w:t xml:space="preserve"> </w:t>
      </w:r>
      <w:r>
        <w:t>stakeholders</w:t>
      </w:r>
      <w:r>
        <w:rPr>
          <w:spacing w:val="-3"/>
        </w:rPr>
        <w:t xml:space="preserve"> </w:t>
      </w:r>
      <w:r>
        <w:t>related</w:t>
      </w:r>
      <w:r>
        <w:rPr>
          <w:spacing w:val="-2"/>
        </w:rPr>
        <w:t xml:space="preserve"> </w:t>
      </w:r>
      <w:r>
        <w:t>to</w:t>
      </w:r>
      <w:r>
        <w:rPr>
          <w:spacing w:val="-2"/>
        </w:rPr>
        <w:t xml:space="preserve"> </w:t>
      </w:r>
      <w:r>
        <w:t>structure</w:t>
      </w:r>
      <w:r>
        <w:rPr>
          <w:spacing w:val="-2"/>
        </w:rPr>
        <w:t xml:space="preserve"> </w:t>
      </w:r>
      <w:r>
        <w:t>and</w:t>
      </w:r>
      <w:r>
        <w:rPr>
          <w:spacing w:val="-2"/>
        </w:rPr>
        <w:t xml:space="preserve"> </w:t>
      </w:r>
      <w:r>
        <w:t>installation</w:t>
      </w:r>
      <w:r>
        <w:rPr>
          <w:spacing w:val="-4"/>
        </w:rPr>
        <w:t xml:space="preserve"> </w:t>
      </w:r>
      <w:r>
        <w:t>permitting</w:t>
      </w:r>
      <w:r>
        <w:rPr>
          <w:spacing w:val="-4"/>
        </w:rPr>
        <w:t xml:space="preserve"> </w:t>
      </w:r>
      <w:r>
        <w:t>and</w:t>
      </w:r>
      <w:r>
        <w:rPr>
          <w:spacing w:val="-2"/>
        </w:rPr>
        <w:t xml:space="preserve"> </w:t>
      </w:r>
      <w:r>
        <w:t>determined it will continue to analyze the need for greater clarity and certainty in the rules and assess the need for amendment to the current fee structure applicable to installations. DEQ ACP anticipates</w:t>
      </w:r>
      <w:r>
        <w:rPr>
          <w:spacing w:val="-3"/>
        </w:rPr>
        <w:t xml:space="preserve"> </w:t>
      </w:r>
      <w:r>
        <w:t>discussion</w:t>
      </w:r>
      <w:r>
        <w:rPr>
          <w:spacing w:val="-4"/>
        </w:rPr>
        <w:t xml:space="preserve"> </w:t>
      </w:r>
      <w:r>
        <w:t>with</w:t>
      </w:r>
      <w:r>
        <w:rPr>
          <w:spacing w:val="-2"/>
        </w:rPr>
        <w:t xml:space="preserve"> </w:t>
      </w:r>
      <w:r>
        <w:t>stakeholders</w:t>
      </w:r>
      <w:r>
        <w:rPr>
          <w:spacing w:val="-3"/>
        </w:rPr>
        <w:t xml:space="preserve"> </w:t>
      </w:r>
      <w:r>
        <w:t>over</w:t>
      </w:r>
      <w:r>
        <w:rPr>
          <w:spacing w:val="-6"/>
        </w:rPr>
        <w:t xml:space="preserve"> </w:t>
      </w:r>
      <w:r>
        <w:t>this</w:t>
      </w:r>
      <w:r>
        <w:rPr>
          <w:spacing w:val="-3"/>
        </w:rPr>
        <w:t xml:space="preserve"> </w:t>
      </w:r>
      <w:proofErr w:type="gramStart"/>
      <w:r>
        <w:t>subject</w:t>
      </w:r>
      <w:r>
        <w:rPr>
          <w:spacing w:val="-5"/>
        </w:rPr>
        <w:t xml:space="preserve"> </w:t>
      </w:r>
      <w:r>
        <w:t>matter</w:t>
      </w:r>
      <w:proofErr w:type="gramEnd"/>
      <w:r>
        <w:rPr>
          <w:spacing w:val="-4"/>
        </w:rPr>
        <w:t xml:space="preserve"> </w:t>
      </w:r>
      <w:r>
        <w:t>prior</w:t>
      </w:r>
      <w:r>
        <w:rPr>
          <w:spacing w:val="-4"/>
        </w:rPr>
        <w:t xml:space="preserve"> </w:t>
      </w:r>
      <w:r>
        <w:t>to</w:t>
      </w:r>
      <w:r>
        <w:rPr>
          <w:spacing w:val="-2"/>
        </w:rPr>
        <w:t xml:space="preserve"> </w:t>
      </w:r>
      <w:r>
        <w:t>a</w:t>
      </w:r>
      <w:r>
        <w:rPr>
          <w:spacing w:val="-4"/>
        </w:rPr>
        <w:t xml:space="preserve"> </w:t>
      </w:r>
      <w:r>
        <w:t>projected</w:t>
      </w:r>
      <w:r>
        <w:rPr>
          <w:spacing w:val="-2"/>
        </w:rPr>
        <w:t xml:space="preserve"> </w:t>
      </w:r>
      <w:r>
        <w:t>August 2022 Administrative Rule change.</w:t>
      </w:r>
    </w:p>
    <w:p w14:paraId="7A8E13AD" w14:textId="77777777" w:rsidR="00785A40" w:rsidRDefault="00785A40">
      <w:pPr>
        <w:pStyle w:val="BodyText"/>
      </w:pPr>
    </w:p>
    <w:p w14:paraId="3795C7EA" w14:textId="77777777" w:rsidR="00785A40" w:rsidRDefault="00712E62">
      <w:pPr>
        <w:pStyle w:val="BodyText"/>
        <w:ind w:right="348"/>
      </w:pPr>
      <w:r>
        <w:t>The</w:t>
      </w:r>
      <w:r>
        <w:rPr>
          <w:spacing w:val="-3"/>
        </w:rPr>
        <w:t xml:space="preserve"> </w:t>
      </w:r>
      <w:r>
        <w:t>Asbestos</w:t>
      </w:r>
      <w:r>
        <w:rPr>
          <w:spacing w:val="-4"/>
        </w:rPr>
        <w:t xml:space="preserve"> </w:t>
      </w:r>
      <w:r>
        <w:t>Control</w:t>
      </w:r>
      <w:r>
        <w:rPr>
          <w:spacing w:val="-7"/>
        </w:rPr>
        <w:t xml:space="preserve"> </w:t>
      </w:r>
      <w:r>
        <w:t>Program</w:t>
      </w:r>
      <w:r>
        <w:rPr>
          <w:spacing w:val="-2"/>
        </w:rPr>
        <w:t xml:space="preserve"> </w:t>
      </w:r>
      <w:r>
        <w:t>appreciates</w:t>
      </w:r>
      <w:r>
        <w:rPr>
          <w:spacing w:val="-4"/>
        </w:rPr>
        <w:t xml:space="preserve"> </w:t>
      </w:r>
      <w:r>
        <w:t>your</w:t>
      </w:r>
      <w:r>
        <w:rPr>
          <w:spacing w:val="-5"/>
        </w:rPr>
        <w:t xml:space="preserve"> </w:t>
      </w:r>
      <w:r>
        <w:t>consideration</w:t>
      </w:r>
      <w:r>
        <w:rPr>
          <w:spacing w:val="-3"/>
        </w:rPr>
        <w:t xml:space="preserve"> </w:t>
      </w:r>
      <w:r>
        <w:t>in</w:t>
      </w:r>
      <w:r>
        <w:rPr>
          <w:spacing w:val="-5"/>
        </w:rPr>
        <w:t xml:space="preserve"> </w:t>
      </w:r>
      <w:r>
        <w:t>this</w:t>
      </w:r>
      <w:r>
        <w:rPr>
          <w:spacing w:val="-4"/>
        </w:rPr>
        <w:t xml:space="preserve"> </w:t>
      </w:r>
      <w:r>
        <w:t>matter</w:t>
      </w:r>
      <w:r>
        <w:rPr>
          <w:spacing w:val="-5"/>
        </w:rPr>
        <w:t xml:space="preserve"> </w:t>
      </w:r>
      <w:r>
        <w:t>and</w:t>
      </w:r>
      <w:r>
        <w:rPr>
          <w:spacing w:val="-3"/>
        </w:rPr>
        <w:t xml:space="preserve"> </w:t>
      </w:r>
      <w:r>
        <w:t>welcomes any questions, comments, or concerns you may have.</w:t>
      </w:r>
    </w:p>
    <w:p w14:paraId="08231D6D" w14:textId="77777777" w:rsidR="00785A40" w:rsidRDefault="00785A40">
      <w:pPr>
        <w:pStyle w:val="BodyText"/>
      </w:pPr>
    </w:p>
    <w:p w14:paraId="462C81AA" w14:textId="77777777" w:rsidR="00785A40" w:rsidRDefault="00712E62">
      <w:pPr>
        <w:pStyle w:val="BodyText"/>
      </w:pPr>
      <w:r>
        <w:rPr>
          <w:spacing w:val="-2"/>
        </w:rPr>
        <w:t>Sincerely,</w:t>
      </w:r>
    </w:p>
    <w:p w14:paraId="347730E6" w14:textId="77777777" w:rsidR="00785A40" w:rsidRDefault="00785A40">
      <w:pPr>
        <w:pStyle w:val="BodyText"/>
      </w:pPr>
    </w:p>
    <w:p w14:paraId="5B9BAEBC" w14:textId="77777777" w:rsidR="00785A40" w:rsidRDefault="00785A40">
      <w:pPr>
        <w:pStyle w:val="BodyText"/>
      </w:pPr>
    </w:p>
    <w:p w14:paraId="7E8B5190" w14:textId="77777777" w:rsidR="00785A40" w:rsidRDefault="00712E62">
      <w:pPr>
        <w:pStyle w:val="BodyText"/>
        <w:ind w:right="6784"/>
      </w:pPr>
      <w:r>
        <w:t>The</w:t>
      </w:r>
      <w:r>
        <w:rPr>
          <w:spacing w:val="-12"/>
        </w:rPr>
        <w:t xml:space="preserve"> </w:t>
      </w:r>
      <w:r>
        <w:t>Asbestos</w:t>
      </w:r>
      <w:r>
        <w:rPr>
          <w:spacing w:val="-13"/>
        </w:rPr>
        <w:t xml:space="preserve"> </w:t>
      </w:r>
      <w:r>
        <w:t>Control</w:t>
      </w:r>
      <w:r>
        <w:rPr>
          <w:spacing w:val="-15"/>
        </w:rPr>
        <w:t xml:space="preserve"> </w:t>
      </w:r>
      <w:r>
        <w:t xml:space="preserve">Program </w:t>
      </w:r>
      <w:r>
        <w:rPr>
          <w:spacing w:val="-2"/>
        </w:rPr>
        <w:t>406-444-5300</w:t>
      </w:r>
    </w:p>
    <w:p w14:paraId="41C4F766" w14:textId="77777777" w:rsidR="00785A40" w:rsidRDefault="00712E62">
      <w:pPr>
        <w:pStyle w:val="BodyText"/>
        <w:spacing w:before="1"/>
      </w:pPr>
      <w:hyperlink r:id="rId6">
        <w:r>
          <w:rPr>
            <w:spacing w:val="-2"/>
          </w:rPr>
          <w:t>deqacponline@mt.gov</w:t>
        </w:r>
      </w:hyperlink>
    </w:p>
    <w:p w14:paraId="3C53E816" w14:textId="77777777" w:rsidR="00785A40" w:rsidRDefault="00785A40">
      <w:pPr>
        <w:pStyle w:val="BodyText"/>
      </w:pPr>
    </w:p>
    <w:p w14:paraId="79FB5A46" w14:textId="77777777" w:rsidR="00785A40" w:rsidRDefault="00785A40">
      <w:pPr>
        <w:pStyle w:val="BodyText"/>
      </w:pPr>
    </w:p>
    <w:p w14:paraId="3AC317CE" w14:textId="77777777" w:rsidR="00785A40" w:rsidRDefault="00785A40">
      <w:pPr>
        <w:pStyle w:val="BodyText"/>
      </w:pPr>
    </w:p>
    <w:p w14:paraId="697514B9" w14:textId="77777777" w:rsidR="00785A40" w:rsidRDefault="00785A40">
      <w:pPr>
        <w:pStyle w:val="BodyText"/>
      </w:pPr>
    </w:p>
    <w:p w14:paraId="4BA8E3B5" w14:textId="77777777" w:rsidR="00785A40" w:rsidRDefault="00785A40">
      <w:pPr>
        <w:pStyle w:val="BodyText"/>
      </w:pPr>
    </w:p>
    <w:p w14:paraId="2934832D" w14:textId="77777777" w:rsidR="00785A40" w:rsidRDefault="00785A40">
      <w:pPr>
        <w:pStyle w:val="BodyText"/>
      </w:pPr>
    </w:p>
    <w:p w14:paraId="5E9928D1" w14:textId="77777777" w:rsidR="00785A40" w:rsidRDefault="00785A40">
      <w:pPr>
        <w:pStyle w:val="BodyText"/>
      </w:pPr>
    </w:p>
    <w:p w14:paraId="34BFC11A" w14:textId="77777777" w:rsidR="00785A40" w:rsidRDefault="00785A40">
      <w:pPr>
        <w:pStyle w:val="BodyText"/>
      </w:pPr>
    </w:p>
    <w:p w14:paraId="3B5FE0DB" w14:textId="77777777" w:rsidR="00785A40" w:rsidRDefault="00785A40">
      <w:pPr>
        <w:pStyle w:val="BodyText"/>
      </w:pPr>
    </w:p>
    <w:p w14:paraId="6842064D" w14:textId="77777777" w:rsidR="00785A40" w:rsidRDefault="00785A40">
      <w:pPr>
        <w:pStyle w:val="BodyText"/>
      </w:pPr>
    </w:p>
    <w:p w14:paraId="47F8A285" w14:textId="77777777" w:rsidR="00785A40" w:rsidRDefault="00785A40">
      <w:pPr>
        <w:pStyle w:val="BodyText"/>
      </w:pPr>
    </w:p>
    <w:p w14:paraId="287FAD65" w14:textId="77777777" w:rsidR="00785A40" w:rsidRDefault="00785A40">
      <w:pPr>
        <w:pStyle w:val="BodyText"/>
      </w:pPr>
    </w:p>
    <w:p w14:paraId="452BD6CE" w14:textId="77777777" w:rsidR="00785A40" w:rsidRDefault="00785A40">
      <w:pPr>
        <w:pStyle w:val="BodyText"/>
      </w:pPr>
    </w:p>
    <w:p w14:paraId="3DDC71E1" w14:textId="77777777" w:rsidR="00785A40" w:rsidRDefault="00785A40">
      <w:pPr>
        <w:pStyle w:val="BodyText"/>
      </w:pPr>
    </w:p>
    <w:p w14:paraId="4D09A4CC" w14:textId="77777777" w:rsidR="00785A40" w:rsidRDefault="00785A40">
      <w:pPr>
        <w:pStyle w:val="BodyText"/>
      </w:pPr>
    </w:p>
    <w:p w14:paraId="0603FAB5" w14:textId="77777777" w:rsidR="00785A40" w:rsidRDefault="00785A40">
      <w:pPr>
        <w:pStyle w:val="BodyText"/>
      </w:pPr>
    </w:p>
    <w:p w14:paraId="61B5A800" w14:textId="77777777" w:rsidR="00785A40" w:rsidRDefault="00785A40">
      <w:pPr>
        <w:pStyle w:val="BodyText"/>
      </w:pPr>
    </w:p>
    <w:p w14:paraId="10FAF553" w14:textId="77777777" w:rsidR="00785A40" w:rsidRDefault="00785A40">
      <w:pPr>
        <w:pStyle w:val="BodyText"/>
      </w:pPr>
    </w:p>
    <w:p w14:paraId="06A22528" w14:textId="77777777" w:rsidR="00785A40" w:rsidRDefault="00785A40">
      <w:pPr>
        <w:pStyle w:val="BodyText"/>
      </w:pPr>
    </w:p>
    <w:p w14:paraId="15782542" w14:textId="77777777" w:rsidR="00785A40" w:rsidRDefault="00785A40">
      <w:pPr>
        <w:pStyle w:val="BodyText"/>
      </w:pPr>
    </w:p>
    <w:p w14:paraId="3D3A1185" w14:textId="77777777" w:rsidR="00785A40" w:rsidRDefault="00785A40">
      <w:pPr>
        <w:pStyle w:val="BodyText"/>
      </w:pPr>
    </w:p>
    <w:p w14:paraId="77BEEC29" w14:textId="77777777" w:rsidR="00785A40" w:rsidRDefault="00785A40">
      <w:pPr>
        <w:pStyle w:val="BodyText"/>
      </w:pPr>
    </w:p>
    <w:p w14:paraId="7276E0B8" w14:textId="77777777" w:rsidR="00785A40" w:rsidRDefault="00785A40">
      <w:pPr>
        <w:pStyle w:val="BodyText"/>
      </w:pPr>
    </w:p>
    <w:p w14:paraId="5597EE8D" w14:textId="77777777" w:rsidR="00785A40" w:rsidRDefault="00785A40">
      <w:pPr>
        <w:pStyle w:val="BodyText"/>
      </w:pPr>
    </w:p>
    <w:p w14:paraId="40A76CDE" w14:textId="77777777" w:rsidR="00785A40" w:rsidRDefault="00785A40">
      <w:pPr>
        <w:pStyle w:val="BodyText"/>
      </w:pPr>
    </w:p>
    <w:p w14:paraId="72084BB9" w14:textId="77777777" w:rsidR="00785A40" w:rsidRDefault="00785A40">
      <w:pPr>
        <w:pStyle w:val="BodyText"/>
      </w:pPr>
    </w:p>
    <w:p w14:paraId="434DF88F" w14:textId="77777777" w:rsidR="00785A40" w:rsidRDefault="00785A40">
      <w:pPr>
        <w:pStyle w:val="BodyText"/>
      </w:pPr>
    </w:p>
    <w:p w14:paraId="214565A3" w14:textId="77777777" w:rsidR="00785A40" w:rsidRDefault="00785A40">
      <w:pPr>
        <w:pStyle w:val="BodyText"/>
      </w:pPr>
    </w:p>
    <w:p w14:paraId="7E58CFF7" w14:textId="77777777" w:rsidR="00785A40" w:rsidRDefault="00785A40">
      <w:pPr>
        <w:pStyle w:val="BodyText"/>
      </w:pPr>
    </w:p>
    <w:p w14:paraId="302F27F3" w14:textId="77777777" w:rsidR="00785A40" w:rsidRDefault="00785A40">
      <w:pPr>
        <w:pStyle w:val="BodyText"/>
      </w:pPr>
    </w:p>
    <w:p w14:paraId="1C1C5A70" w14:textId="77777777" w:rsidR="00785A40" w:rsidRDefault="00785A40">
      <w:pPr>
        <w:pStyle w:val="BodyText"/>
      </w:pPr>
    </w:p>
    <w:p w14:paraId="06C64745" w14:textId="77777777" w:rsidR="00785A40" w:rsidRDefault="00785A40">
      <w:pPr>
        <w:pStyle w:val="BodyText"/>
      </w:pPr>
    </w:p>
    <w:p w14:paraId="7FA8C79A" w14:textId="77777777" w:rsidR="00785A40" w:rsidRDefault="00785A40">
      <w:pPr>
        <w:pStyle w:val="BodyText"/>
      </w:pPr>
    </w:p>
    <w:p w14:paraId="08FE5F3A" w14:textId="77777777" w:rsidR="00785A40" w:rsidRDefault="00785A40">
      <w:pPr>
        <w:pStyle w:val="BodyText"/>
      </w:pPr>
    </w:p>
    <w:p w14:paraId="2197E659" w14:textId="77777777" w:rsidR="00785A40" w:rsidRDefault="00785A40">
      <w:pPr>
        <w:pStyle w:val="BodyText"/>
        <w:spacing w:before="48"/>
      </w:pPr>
    </w:p>
    <w:p w14:paraId="5B6CB999" w14:textId="77777777" w:rsidR="00785A40" w:rsidRDefault="00712E62">
      <w:pPr>
        <w:pStyle w:val="BodyText"/>
        <w:ind w:right="286"/>
        <w:jc w:val="center"/>
      </w:pPr>
      <w:r>
        <w:t>Page</w:t>
      </w:r>
      <w:r>
        <w:rPr>
          <w:spacing w:val="-1"/>
        </w:rPr>
        <w:t xml:space="preserve"> </w:t>
      </w:r>
      <w:r>
        <w:rPr>
          <w:spacing w:val="-10"/>
        </w:rPr>
        <w:t>2</w:t>
      </w:r>
    </w:p>
    <w:sectPr w:rsidR="00785A40">
      <w:pgSz w:w="12240" w:h="15840"/>
      <w:pgMar w:top="64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85A40"/>
    <w:rsid w:val="00093DD0"/>
    <w:rsid w:val="006E14CE"/>
    <w:rsid w:val="00712E62"/>
    <w:rsid w:val="00781D18"/>
    <w:rsid w:val="00785A40"/>
    <w:rsid w:val="00BE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F9131"/>
  <w15:docId w15:val="{DC513D71-3C0A-4A28-9A3C-45C84D14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4CE"/>
  </w:style>
  <w:style w:type="paragraph" w:styleId="Heading1">
    <w:name w:val="heading 1"/>
    <w:basedOn w:val="Normal"/>
    <w:next w:val="Normal"/>
    <w:link w:val="Heading1Char"/>
    <w:uiPriority w:val="9"/>
    <w:qFormat/>
    <w:rsid w:val="006E14CE"/>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6E14CE"/>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E14C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E14C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6E14C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6E14C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6E14C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6E14C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6E14C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Arial" w:eastAsia="Arial" w:hAnsi="Arial" w:cs="Arial"/>
      <w:sz w:val="24"/>
      <w:szCs w:val="24"/>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character" w:customStyle="1" w:styleId="Heading1Char">
    <w:name w:val="Heading 1 Char"/>
    <w:basedOn w:val="DefaultParagraphFont"/>
    <w:link w:val="Heading1"/>
    <w:uiPriority w:val="9"/>
    <w:rsid w:val="006E14CE"/>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6E14C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E14C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E14CE"/>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6E14C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6E14C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6E14C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6E14C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6E14CE"/>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6E14CE"/>
    <w:pPr>
      <w:spacing w:line="240" w:lineRule="auto"/>
    </w:pPr>
    <w:rPr>
      <w:b/>
      <w:bCs/>
      <w:smallCaps/>
      <w:color w:val="1F497D" w:themeColor="text2"/>
    </w:rPr>
  </w:style>
  <w:style w:type="paragraph" w:styleId="Title">
    <w:name w:val="Title"/>
    <w:basedOn w:val="Normal"/>
    <w:next w:val="Normal"/>
    <w:link w:val="TitleChar"/>
    <w:uiPriority w:val="10"/>
    <w:qFormat/>
    <w:rsid w:val="006E14C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6E14C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6E14C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6E14CE"/>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6E14CE"/>
    <w:rPr>
      <w:b/>
      <w:bCs/>
    </w:rPr>
  </w:style>
  <w:style w:type="character" w:styleId="Emphasis">
    <w:name w:val="Emphasis"/>
    <w:basedOn w:val="DefaultParagraphFont"/>
    <w:uiPriority w:val="20"/>
    <w:qFormat/>
    <w:rsid w:val="006E14CE"/>
    <w:rPr>
      <w:i/>
      <w:iCs/>
    </w:rPr>
  </w:style>
  <w:style w:type="paragraph" w:styleId="NoSpacing">
    <w:name w:val="No Spacing"/>
    <w:uiPriority w:val="1"/>
    <w:qFormat/>
    <w:rsid w:val="006E14CE"/>
    <w:pPr>
      <w:spacing w:after="0" w:line="240" w:lineRule="auto"/>
    </w:pPr>
  </w:style>
  <w:style w:type="paragraph" w:styleId="Quote">
    <w:name w:val="Quote"/>
    <w:basedOn w:val="Normal"/>
    <w:next w:val="Normal"/>
    <w:link w:val="QuoteChar"/>
    <w:uiPriority w:val="29"/>
    <w:qFormat/>
    <w:rsid w:val="006E14C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6E14CE"/>
    <w:rPr>
      <w:color w:val="1F497D" w:themeColor="text2"/>
      <w:sz w:val="24"/>
      <w:szCs w:val="24"/>
    </w:rPr>
  </w:style>
  <w:style w:type="paragraph" w:styleId="IntenseQuote">
    <w:name w:val="Intense Quote"/>
    <w:basedOn w:val="Normal"/>
    <w:next w:val="Normal"/>
    <w:link w:val="IntenseQuoteChar"/>
    <w:uiPriority w:val="30"/>
    <w:qFormat/>
    <w:rsid w:val="006E14C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6E14C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6E14CE"/>
    <w:rPr>
      <w:i/>
      <w:iCs/>
      <w:color w:val="595959" w:themeColor="text1" w:themeTint="A6"/>
    </w:rPr>
  </w:style>
  <w:style w:type="character" w:styleId="IntenseEmphasis">
    <w:name w:val="Intense Emphasis"/>
    <w:basedOn w:val="DefaultParagraphFont"/>
    <w:uiPriority w:val="21"/>
    <w:qFormat/>
    <w:rsid w:val="006E14CE"/>
    <w:rPr>
      <w:b/>
      <w:bCs/>
      <w:i/>
      <w:iCs/>
    </w:rPr>
  </w:style>
  <w:style w:type="character" w:styleId="SubtleReference">
    <w:name w:val="Subtle Reference"/>
    <w:basedOn w:val="DefaultParagraphFont"/>
    <w:uiPriority w:val="31"/>
    <w:qFormat/>
    <w:rsid w:val="006E14C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E14CE"/>
    <w:rPr>
      <w:b/>
      <w:bCs/>
      <w:smallCaps/>
      <w:color w:val="1F497D" w:themeColor="text2"/>
      <w:u w:val="single"/>
    </w:rPr>
  </w:style>
  <w:style w:type="character" w:styleId="BookTitle">
    <w:name w:val="Book Title"/>
    <w:basedOn w:val="DefaultParagraphFont"/>
    <w:uiPriority w:val="33"/>
    <w:qFormat/>
    <w:rsid w:val="006E14CE"/>
    <w:rPr>
      <w:b/>
      <w:bCs/>
      <w:smallCaps/>
      <w:spacing w:val="10"/>
    </w:rPr>
  </w:style>
  <w:style w:type="paragraph" w:styleId="TOCHeading">
    <w:name w:val="TOC Heading"/>
    <w:basedOn w:val="Heading1"/>
    <w:next w:val="Normal"/>
    <w:uiPriority w:val="39"/>
    <w:semiHidden/>
    <w:unhideWhenUsed/>
    <w:qFormat/>
    <w:rsid w:val="006E14C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qacponline@mt.gov" TargetMode="External"/><Relationship Id="rId5" Type="http://schemas.openxmlformats.org/officeDocument/2006/relationships/hyperlink" Target="http://www.deq.mt.go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495</Words>
  <Characters>2825</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Permitting and notification requirements for installations</vt:lpstr>
    </vt:vector>
  </TitlesOfParts>
  <Company>Spur Studio</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Permitting and notification requirements for installations</dc:title>
  <dc:creator>Kristin Snider</dc:creator>
  <dc:description/>
  <cp:lastModifiedBy>Kurvink, Greg</cp:lastModifiedBy>
  <cp:revision>3</cp:revision>
  <dcterms:created xsi:type="dcterms:W3CDTF">2026-07-30T18:57:00Z</dcterms:created>
  <dcterms:modified xsi:type="dcterms:W3CDTF">2026-07-30T18:58:00Z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2021-05-07T00:00:00Z</vt:filetime>
  </property>
  <property fmtid="{D5CDD505-2E9C-101B-9397-08002B2CF9AE}" pid="3" name="Creator">
    <vt:lpwstr>Acrobat PDFMaker 21 for Word</vt:lpwstr>
  </property>
  <property fmtid="{D5CDD505-2E9C-101B-9397-08002B2CF9AE}" pid="4" name="LastSaved">
    <vt:filetime>2026-06-09T00:00:00Z</vt:filetime>
  </property>
  <property fmtid="{D5CDD505-2E9C-101B-9397-08002B2CF9AE}" pid="5" name="Producer">
    <vt:lpwstr>Adobe PDF Library 21.1.182</vt:lpwstr>
  </property>
  <property fmtid="{D5CDD505-2E9C-101B-9397-08002B2CF9AE}" pid="6" name="SourceModified">
    <vt:lpwstr>D:20210504195243</vt:lpwstr>
  </property>
</Properties>
</file>